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E78F" w14:textId="77777777" w:rsidR="004734AC" w:rsidRDefault="00571C80">
      <w:pPr>
        <w:tabs>
          <w:tab w:val="center" w:pos="4513"/>
          <w:tab w:val="right" w:pos="9026"/>
        </w:tabs>
        <w:spacing w:after="0" w:line="240" w:lineRule="auto"/>
        <w:rPr>
          <w:rFonts w:ascii="Arial" w:eastAsia="Arial" w:hAnsi="Arial" w:cs="Arial"/>
        </w:rPr>
      </w:pPr>
      <w:r>
        <w:t>Oakwood Sixth Form Humanities Curriculum Map</w:t>
      </w:r>
    </w:p>
    <w:tbl>
      <w:tblPr>
        <w:tblStyle w:val="a0"/>
        <w:tblW w:w="22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5"/>
        <w:gridCol w:w="4020"/>
        <w:gridCol w:w="3720"/>
        <w:gridCol w:w="3660"/>
        <w:gridCol w:w="3435"/>
        <w:gridCol w:w="3450"/>
      </w:tblGrid>
      <w:tr w:rsidR="004734AC" w14:paraId="19AAD15F" w14:textId="77777777">
        <w:tc>
          <w:tcPr>
            <w:tcW w:w="3975" w:type="dxa"/>
          </w:tcPr>
          <w:p w14:paraId="36911831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Autumn 1</w:t>
            </w:r>
          </w:p>
        </w:tc>
        <w:tc>
          <w:tcPr>
            <w:tcW w:w="4020" w:type="dxa"/>
          </w:tcPr>
          <w:p w14:paraId="7759DA77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Autumn 2</w:t>
            </w:r>
          </w:p>
        </w:tc>
        <w:tc>
          <w:tcPr>
            <w:tcW w:w="3720" w:type="dxa"/>
          </w:tcPr>
          <w:p w14:paraId="4D1EF47A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Spring 1</w:t>
            </w:r>
          </w:p>
        </w:tc>
        <w:tc>
          <w:tcPr>
            <w:tcW w:w="3660" w:type="dxa"/>
          </w:tcPr>
          <w:p w14:paraId="3795BFDE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Spring 2</w:t>
            </w:r>
          </w:p>
        </w:tc>
        <w:tc>
          <w:tcPr>
            <w:tcW w:w="3435" w:type="dxa"/>
          </w:tcPr>
          <w:p w14:paraId="06EE6F6F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Summer 1</w:t>
            </w:r>
          </w:p>
        </w:tc>
        <w:tc>
          <w:tcPr>
            <w:tcW w:w="3450" w:type="dxa"/>
          </w:tcPr>
          <w:p w14:paraId="0435A941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Summer 2</w:t>
            </w:r>
          </w:p>
        </w:tc>
      </w:tr>
      <w:tr w:rsidR="004734AC" w14:paraId="6EA94822" w14:textId="77777777">
        <w:tc>
          <w:tcPr>
            <w:tcW w:w="3975" w:type="dxa"/>
          </w:tcPr>
          <w:p w14:paraId="492EEA2D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7wks</w:t>
            </w:r>
          </w:p>
        </w:tc>
        <w:tc>
          <w:tcPr>
            <w:tcW w:w="4020" w:type="dxa"/>
          </w:tcPr>
          <w:p w14:paraId="27DA90D3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7wks</w:t>
            </w:r>
          </w:p>
        </w:tc>
        <w:tc>
          <w:tcPr>
            <w:tcW w:w="3720" w:type="dxa"/>
          </w:tcPr>
          <w:p w14:paraId="06F2A547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6wks</w:t>
            </w:r>
          </w:p>
        </w:tc>
        <w:tc>
          <w:tcPr>
            <w:tcW w:w="3660" w:type="dxa"/>
          </w:tcPr>
          <w:p w14:paraId="25BB583B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6wks</w:t>
            </w:r>
          </w:p>
        </w:tc>
        <w:tc>
          <w:tcPr>
            <w:tcW w:w="3435" w:type="dxa"/>
          </w:tcPr>
          <w:p w14:paraId="1F349532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5wks</w:t>
            </w:r>
          </w:p>
        </w:tc>
        <w:tc>
          <w:tcPr>
            <w:tcW w:w="3450" w:type="dxa"/>
          </w:tcPr>
          <w:p w14:paraId="3F4C56C3" w14:textId="77777777" w:rsidR="004734AC" w:rsidRDefault="00571C80">
            <w:pPr>
              <w:tabs>
                <w:tab w:val="center" w:pos="4513"/>
                <w:tab w:val="right" w:pos="9026"/>
              </w:tabs>
              <w:jc w:val="center"/>
            </w:pPr>
            <w:r>
              <w:t>7wks</w:t>
            </w:r>
          </w:p>
        </w:tc>
      </w:tr>
      <w:tr w:rsidR="004734AC" w14:paraId="2F1A7C82" w14:textId="77777777">
        <w:trPr>
          <w:trHeight w:val="13662"/>
        </w:trPr>
        <w:tc>
          <w:tcPr>
            <w:tcW w:w="3975" w:type="dxa"/>
          </w:tcPr>
          <w:p w14:paraId="6F4143A0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  <w:p w14:paraId="35CC33F5" w14:textId="77777777" w:rsidR="004734AC" w:rsidRDefault="00571C8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RS: Places of Worship</w:t>
            </w:r>
          </w:p>
          <w:p w14:paraId="75F207F5" w14:textId="77777777" w:rsidR="004734AC" w:rsidRDefault="00473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128268E" w14:textId="77777777" w:rsidR="004734AC" w:rsidRDefault="00571C80">
            <w:pPr>
              <w:numPr>
                <w:ilvl w:val="0"/>
                <w:numId w:val="1"/>
              </w:num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 on two different religious spaces.</w:t>
            </w:r>
          </w:p>
          <w:p w14:paraId="5C5C0CCC" w14:textId="77777777" w:rsidR="004734AC" w:rsidRDefault="00571C80">
            <w:pPr>
              <w:spacing w:after="160" w:line="259" w:lineRule="auto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This unit aims to educate learners about the significance and features of different religious spaces, encouraging them to understand the purpose and importance of these places for various faiths.</w:t>
            </w:r>
          </w:p>
          <w:p w14:paraId="5263C793" w14:textId="77777777" w:rsidR="004734AC" w:rsidRDefault="00571C80">
            <w:pPr>
              <w:spacing w:after="160" w:line="259" w:lineRule="auto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white"/>
              </w:rPr>
              <w:br/>
            </w:r>
          </w:p>
        </w:tc>
        <w:tc>
          <w:tcPr>
            <w:tcW w:w="4020" w:type="dxa"/>
          </w:tcPr>
          <w:p w14:paraId="58EC2798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  <w:p w14:paraId="76B7E036" w14:textId="77777777" w:rsidR="004734AC" w:rsidRDefault="00571C8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Geography: The changing population of the UK and the chal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lenges faced by urban areas.</w:t>
            </w:r>
          </w:p>
          <w:p w14:paraId="07216A56" w14:textId="77777777" w:rsidR="004734AC" w:rsidRDefault="00473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7F91C51" w14:textId="77777777" w:rsidR="004734AC" w:rsidRDefault="00571C80">
            <w:pPr>
              <w:numPr>
                <w:ilvl w:val="0"/>
                <w:numId w:val="3"/>
              </w:num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 on how the population has changed nationally and the consequences for Salford and Manchester.</w:t>
            </w:r>
          </w:p>
          <w:p w14:paraId="1AC0164F" w14:textId="77777777" w:rsidR="004734AC" w:rsidRDefault="00571C80">
            <w:pPr>
              <w:spacing w:after="160" w:line="259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This unit aims to give learners an understanding of why the UK’s population has changed and what impact that has on their lives today.</w:t>
            </w:r>
          </w:p>
          <w:p w14:paraId="5624A818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  <w:p w14:paraId="575180ED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</w:tc>
        <w:tc>
          <w:tcPr>
            <w:tcW w:w="3720" w:type="dxa"/>
          </w:tcPr>
          <w:p w14:paraId="6CCBE6A0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  <w:p w14:paraId="655B82DB" w14:textId="77777777" w:rsidR="004734AC" w:rsidRDefault="00571C8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History: A non-British society in the past</w:t>
            </w:r>
          </w:p>
          <w:p w14:paraId="02B7F9C8" w14:textId="77777777" w:rsidR="004734AC" w:rsidRDefault="00473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6F6288C" w14:textId="77777777" w:rsidR="004734AC" w:rsidRDefault="00571C80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 on Ancient Egypt</w:t>
            </w:r>
          </w:p>
          <w:p w14:paraId="0C7E7A3A" w14:textId="77777777" w:rsidR="004734AC" w:rsidRDefault="00571C80">
            <w:pPr>
              <w:spacing w:after="160"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unit aims to allow learners to understand key features that affected people in a non-British society in the past. In particular learners will learn about similarities and differences between past and present and the use of historical sources. </w:t>
            </w:r>
          </w:p>
          <w:p w14:paraId="6B23B4BF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</w:tc>
        <w:tc>
          <w:tcPr>
            <w:tcW w:w="3660" w:type="dxa"/>
          </w:tcPr>
          <w:p w14:paraId="53D9EDA2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  <w:p w14:paraId="6A7E4F91" w14:textId="77777777" w:rsidR="004734AC" w:rsidRDefault="00571C8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RS: I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mportant Ceremonies in Life and Death</w:t>
            </w:r>
          </w:p>
          <w:p w14:paraId="0ABF6737" w14:textId="77777777" w:rsidR="004734AC" w:rsidRDefault="00473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BE74DEB" w14:textId="77777777" w:rsidR="004734AC" w:rsidRDefault="00571C80">
            <w:pPr>
              <w:numPr>
                <w:ilvl w:val="0"/>
                <w:numId w:val="2"/>
              </w:num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 on ceremonies such as baptism, marriage and funerals</w:t>
            </w:r>
          </w:p>
          <w:p w14:paraId="23A51F44" w14:textId="77777777" w:rsidR="004734AC" w:rsidRDefault="00571C80">
            <w:pPr>
              <w:spacing w:after="160" w:line="259" w:lineRule="auto"/>
              <w:ind w:left="72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This unit helps learners explore significant life events and how they are marked across different religions and cultures.</w:t>
            </w:r>
          </w:p>
        </w:tc>
        <w:tc>
          <w:tcPr>
            <w:tcW w:w="3435" w:type="dxa"/>
          </w:tcPr>
          <w:p w14:paraId="10AD46F4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  <w:p w14:paraId="6287AA8C" w14:textId="77777777" w:rsidR="004734AC" w:rsidRDefault="00571C8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History: Looking at Local History</w:t>
            </w:r>
          </w:p>
          <w:p w14:paraId="09A6A7A3" w14:textId="77777777" w:rsidR="004734AC" w:rsidRDefault="004734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979C578" w14:textId="77777777" w:rsidR="004734AC" w:rsidRDefault="00571C80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Focus on Salford Quays</w:t>
            </w:r>
          </w:p>
          <w:p w14:paraId="2F9981B5" w14:textId="77777777" w:rsidR="004734AC" w:rsidRDefault="00571C80">
            <w:pPr>
              <w:spacing w:after="160" w:line="259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This unit aims to help learners </w:t>
            </w:r>
            <w:r>
              <w:rPr>
                <w:rFonts w:ascii="Arial" w:eastAsia="Arial" w:hAnsi="Arial" w:cs="Arial"/>
                <w:color w:val="001D35"/>
                <w:sz w:val="20"/>
                <w:szCs w:val="20"/>
                <w:highlight w:val="white"/>
              </w:rPr>
              <w:t xml:space="preserve">to understand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Salford’s past. They will be investigating local buildings, landscapes, and records to learn about the lives of people who lived there before, fostering a sense of place and identity. </w:t>
            </w:r>
          </w:p>
          <w:p w14:paraId="2F11D2EC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6"/>
                <w:szCs w:val="16"/>
              </w:rPr>
            </w:pPr>
          </w:p>
          <w:p w14:paraId="59D57D3A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450" w:type="dxa"/>
          </w:tcPr>
          <w:p w14:paraId="6E31FD93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8"/>
                <w:szCs w:val="18"/>
              </w:rPr>
            </w:pPr>
          </w:p>
          <w:p w14:paraId="0ED9D2A3" w14:textId="77777777" w:rsidR="004734AC" w:rsidRDefault="00571C80">
            <w:pPr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Geography: Climate Change: causes, effects and human responses</w:t>
            </w:r>
          </w:p>
          <w:p w14:paraId="55726FC9" w14:textId="77777777" w:rsidR="004734AC" w:rsidRDefault="004734AC">
            <w:pPr>
              <w:rPr>
                <w:rFonts w:ascii="Arial" w:eastAsia="Arial" w:hAnsi="Arial" w:cs="Arial"/>
              </w:rPr>
            </w:pPr>
          </w:p>
          <w:p w14:paraId="2237512E" w14:textId="77777777" w:rsidR="004734AC" w:rsidRDefault="00571C80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Focus on what individuals and government can do to manage climate change</w:t>
            </w:r>
          </w:p>
          <w:p w14:paraId="3F321F69" w14:textId="77777777" w:rsidR="004734AC" w:rsidRDefault="00571C80">
            <w:pPr>
              <w:spacing w:after="160" w:line="259" w:lineRule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This unit aims to give learners the knowledge to understand why climate change is happening and what is being done about it.</w:t>
            </w:r>
          </w:p>
          <w:p w14:paraId="00EBE6D9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8"/>
                <w:szCs w:val="18"/>
              </w:rPr>
            </w:pPr>
          </w:p>
          <w:p w14:paraId="7503D54A" w14:textId="77777777" w:rsidR="004734AC" w:rsidRDefault="004734AC">
            <w:pPr>
              <w:tabs>
                <w:tab w:val="center" w:pos="4513"/>
                <w:tab w:val="right" w:pos="9026"/>
              </w:tabs>
              <w:rPr>
                <w:sz w:val="18"/>
                <w:szCs w:val="18"/>
              </w:rPr>
            </w:pPr>
          </w:p>
        </w:tc>
      </w:tr>
    </w:tbl>
    <w:p w14:paraId="26275993" w14:textId="77777777" w:rsidR="004734AC" w:rsidRDefault="004734AC">
      <w:pPr>
        <w:tabs>
          <w:tab w:val="center" w:pos="4513"/>
          <w:tab w:val="right" w:pos="9026"/>
        </w:tabs>
      </w:pPr>
    </w:p>
    <w:sectPr w:rsidR="004734AC">
      <w:pgSz w:w="23811" w:h="16838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151E"/>
    <w:multiLevelType w:val="multilevel"/>
    <w:tmpl w:val="C8F29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E82A9F"/>
    <w:multiLevelType w:val="multilevel"/>
    <w:tmpl w:val="7B4A5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8E40EF"/>
    <w:multiLevelType w:val="multilevel"/>
    <w:tmpl w:val="80663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B6346D"/>
    <w:multiLevelType w:val="multilevel"/>
    <w:tmpl w:val="D1424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A014081"/>
    <w:multiLevelType w:val="multilevel"/>
    <w:tmpl w:val="98742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7D3F7C"/>
    <w:multiLevelType w:val="multilevel"/>
    <w:tmpl w:val="66040C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AC"/>
    <w:rsid w:val="004734AC"/>
    <w:rsid w:val="0057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F329"/>
  <w15:docId w15:val="{2E623949-035B-4035-B6BD-5A629955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45"/>
  </w:style>
  <w:style w:type="paragraph" w:styleId="Footer">
    <w:name w:val="footer"/>
    <w:basedOn w:val="Normal"/>
    <w:link w:val="FooterChar"/>
    <w:uiPriority w:val="99"/>
    <w:unhideWhenUsed/>
    <w:rsid w:val="00EF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45"/>
  </w:style>
  <w:style w:type="table" w:styleId="TableGrid">
    <w:name w:val="Table Grid"/>
    <w:basedOn w:val="TableNormal"/>
    <w:uiPriority w:val="39"/>
    <w:rsid w:val="00E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3E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673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CED"/>
    <w:rPr>
      <w:rFonts w:ascii="Segoe UI" w:hAnsi="Segoe UI" w:cs="Segoe UI"/>
      <w:sz w:val="18"/>
      <w:szCs w:val="1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yJEDEDXSuacbHNBmmPHHb6dCQ==">CgMxLjA4AHIhMWgzUFc2bDV5SnRhbmtySUdYMGhGdGplSGlYd3VoWWtZ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Hayes</dc:creator>
  <cp:lastModifiedBy>Sarah Egan</cp:lastModifiedBy>
  <cp:revision>2</cp:revision>
  <dcterms:created xsi:type="dcterms:W3CDTF">2025-10-13T14:17:00Z</dcterms:created>
  <dcterms:modified xsi:type="dcterms:W3CDTF">2025-10-13T14:17:00Z</dcterms:modified>
</cp:coreProperties>
</file>