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A2FE" w14:textId="77777777" w:rsidR="000F50F2" w:rsidRDefault="00B779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PSHE Curriculum map 2025-26</w:t>
      </w:r>
    </w:p>
    <w:p w14:paraId="35CB9FA0" w14:textId="77777777" w:rsidR="000F50F2" w:rsidRDefault="000F5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5FB77D30" w14:textId="77777777" w:rsidR="000F50F2" w:rsidRDefault="00B779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curriculum must be adapted to the needs of your class - Please also be aware of current affairs or in college issues that offer a learning opportunity or require further discussion or clarification. This will always take precedent over the map. The le</w:t>
      </w:r>
      <w:r>
        <w:rPr>
          <w:rFonts w:ascii="Arial" w:eastAsia="Arial" w:hAnsi="Arial" w:cs="Arial"/>
        </w:rPr>
        <w:t>ssons do not need to be followed in order as long as all topics are covered.</w:t>
      </w:r>
    </w:p>
    <w:p w14:paraId="1D4A96E5" w14:textId="77777777" w:rsidR="000F50F2" w:rsidRDefault="000F5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2"/>
        <w:tblW w:w="2220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5"/>
        <w:gridCol w:w="3990"/>
        <w:gridCol w:w="3870"/>
        <w:gridCol w:w="3825"/>
        <w:gridCol w:w="3390"/>
        <w:gridCol w:w="3360"/>
      </w:tblGrid>
      <w:tr w:rsidR="000F50F2" w14:paraId="3A50531C" w14:textId="77777777">
        <w:tc>
          <w:tcPr>
            <w:tcW w:w="3765" w:type="dxa"/>
          </w:tcPr>
          <w:p w14:paraId="518B9DB7" w14:textId="77777777" w:rsidR="000F50F2" w:rsidRDefault="00B77981">
            <w:pPr>
              <w:jc w:val="center"/>
            </w:pPr>
            <w:r>
              <w:t>Autumn 1</w:t>
            </w:r>
          </w:p>
        </w:tc>
        <w:tc>
          <w:tcPr>
            <w:tcW w:w="3990" w:type="dxa"/>
          </w:tcPr>
          <w:p w14:paraId="742E5D1A" w14:textId="77777777" w:rsidR="000F50F2" w:rsidRDefault="00B77981">
            <w:pPr>
              <w:jc w:val="center"/>
            </w:pPr>
            <w:r>
              <w:t>Autumn 2</w:t>
            </w:r>
          </w:p>
        </w:tc>
        <w:tc>
          <w:tcPr>
            <w:tcW w:w="3870" w:type="dxa"/>
          </w:tcPr>
          <w:p w14:paraId="31B6B6AB" w14:textId="77777777" w:rsidR="000F50F2" w:rsidRDefault="00B77981">
            <w:pPr>
              <w:jc w:val="center"/>
            </w:pPr>
            <w:r>
              <w:t>Spring 1</w:t>
            </w:r>
          </w:p>
        </w:tc>
        <w:tc>
          <w:tcPr>
            <w:tcW w:w="3825" w:type="dxa"/>
          </w:tcPr>
          <w:p w14:paraId="498A7A4A" w14:textId="77777777" w:rsidR="000F50F2" w:rsidRDefault="00B77981">
            <w:pPr>
              <w:jc w:val="center"/>
            </w:pPr>
            <w:r>
              <w:t>Spring 2</w:t>
            </w:r>
          </w:p>
        </w:tc>
        <w:tc>
          <w:tcPr>
            <w:tcW w:w="3390" w:type="dxa"/>
          </w:tcPr>
          <w:p w14:paraId="60823D40" w14:textId="77777777" w:rsidR="000F50F2" w:rsidRDefault="00B77981">
            <w:pPr>
              <w:jc w:val="center"/>
            </w:pPr>
            <w:r>
              <w:t>Summer 1</w:t>
            </w:r>
          </w:p>
        </w:tc>
        <w:tc>
          <w:tcPr>
            <w:tcW w:w="3360" w:type="dxa"/>
          </w:tcPr>
          <w:p w14:paraId="7F74AE51" w14:textId="77777777" w:rsidR="000F50F2" w:rsidRDefault="00B77981">
            <w:pPr>
              <w:jc w:val="center"/>
            </w:pPr>
            <w:r>
              <w:t>Summer 2</w:t>
            </w:r>
          </w:p>
        </w:tc>
      </w:tr>
      <w:tr w:rsidR="000F50F2" w14:paraId="08A8C282" w14:textId="77777777">
        <w:tc>
          <w:tcPr>
            <w:tcW w:w="3765" w:type="dxa"/>
          </w:tcPr>
          <w:p w14:paraId="3691326A" w14:textId="77777777" w:rsidR="000F50F2" w:rsidRDefault="00B77981">
            <w:pPr>
              <w:jc w:val="center"/>
            </w:pPr>
            <w:r>
              <w:t>8wks</w:t>
            </w:r>
          </w:p>
        </w:tc>
        <w:tc>
          <w:tcPr>
            <w:tcW w:w="3990" w:type="dxa"/>
          </w:tcPr>
          <w:p w14:paraId="7B47CCCB" w14:textId="77777777" w:rsidR="000F50F2" w:rsidRDefault="00B77981">
            <w:pPr>
              <w:jc w:val="center"/>
            </w:pPr>
            <w:r>
              <w:t>7wks</w:t>
            </w:r>
          </w:p>
        </w:tc>
        <w:tc>
          <w:tcPr>
            <w:tcW w:w="3870" w:type="dxa"/>
          </w:tcPr>
          <w:p w14:paraId="0C88821C" w14:textId="77777777" w:rsidR="000F50F2" w:rsidRDefault="00B77981">
            <w:pPr>
              <w:jc w:val="center"/>
            </w:pPr>
            <w:r>
              <w:t>6wks</w:t>
            </w:r>
          </w:p>
        </w:tc>
        <w:tc>
          <w:tcPr>
            <w:tcW w:w="3825" w:type="dxa"/>
          </w:tcPr>
          <w:p w14:paraId="6BF4111C" w14:textId="77777777" w:rsidR="000F50F2" w:rsidRDefault="00B77981">
            <w:pPr>
              <w:jc w:val="center"/>
            </w:pPr>
            <w:r>
              <w:t>6wks</w:t>
            </w:r>
          </w:p>
        </w:tc>
        <w:tc>
          <w:tcPr>
            <w:tcW w:w="3390" w:type="dxa"/>
          </w:tcPr>
          <w:p w14:paraId="0D414E12" w14:textId="77777777" w:rsidR="000F50F2" w:rsidRDefault="00B77981">
            <w:pPr>
              <w:jc w:val="center"/>
            </w:pPr>
            <w:r>
              <w:t>5wks</w:t>
            </w:r>
          </w:p>
        </w:tc>
        <w:tc>
          <w:tcPr>
            <w:tcW w:w="3360" w:type="dxa"/>
          </w:tcPr>
          <w:p w14:paraId="1D5CB56C" w14:textId="77777777" w:rsidR="000F50F2" w:rsidRDefault="00B77981">
            <w:pPr>
              <w:jc w:val="center"/>
            </w:pPr>
            <w:r>
              <w:t>7wks</w:t>
            </w:r>
          </w:p>
        </w:tc>
      </w:tr>
      <w:tr w:rsidR="000F50F2" w14:paraId="65DBC59E" w14:textId="77777777">
        <w:tc>
          <w:tcPr>
            <w:tcW w:w="3765" w:type="dxa"/>
          </w:tcPr>
          <w:p w14:paraId="4D3AB9A3" w14:textId="77777777" w:rsidR="000F50F2" w:rsidRDefault="00B77981">
            <w:pPr>
              <w:spacing w:after="160" w:line="259" w:lineRule="auto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>This half term is shorter to allow for new starter activities and introduction of new college procedures.</w:t>
            </w:r>
          </w:p>
          <w:p w14:paraId="60F075D5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03E5617F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Health and Wellbeing</w:t>
            </w:r>
          </w:p>
          <w:p w14:paraId="11D9F4F2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7196970B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identify personal strengths, skills, achievements and interests and how these contribute to a sense of self-worth</w:t>
            </w:r>
          </w:p>
          <w:p w14:paraId="392D6480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</w:t>
            </w:r>
            <w:r>
              <w:rPr>
                <w:sz w:val="18"/>
                <w:szCs w:val="18"/>
                <w:highlight w:val="white"/>
              </w:rPr>
              <w:t xml:space="preserve"> understand what constitutes a healthy diet; how to plan healthy meals; benefits to health and wellbeing of eating nutritionally rich foods; risks associated with not eating a healthy diet including obesity and tooth decay</w:t>
            </w:r>
          </w:p>
          <w:p w14:paraId="1D7564BC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3BA638CB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 xml:space="preserve">Relationships </w:t>
            </w:r>
          </w:p>
          <w:p w14:paraId="72DD9BEF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</w:t>
            </w:r>
            <w:r>
              <w:rPr>
                <w:sz w:val="18"/>
                <w:szCs w:val="18"/>
                <w:highlight w:val="white"/>
              </w:rPr>
              <w:t xml:space="preserve"> the qualities and behaviours they should exhibit in wide variety of positive relationships (including college and wider society, family and friendships, including online)</w:t>
            </w:r>
          </w:p>
          <w:p w14:paraId="3AB41803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manage mature friendships, including making new friends in a new place</w:t>
            </w:r>
          </w:p>
          <w:p w14:paraId="2A09EC0E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59B19B11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Livin</w:t>
            </w:r>
            <w:r>
              <w:rPr>
                <w:b/>
                <w:sz w:val="18"/>
                <w:szCs w:val="18"/>
                <w:highlight w:val="white"/>
                <w:u w:val="single"/>
              </w:rPr>
              <w:t>g in the Wider World</w:t>
            </w:r>
          </w:p>
          <w:p w14:paraId="0D96CE0B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reasons for rules and laws; consequences of not adhering to rules and laws</w:t>
            </w:r>
          </w:p>
          <w:p w14:paraId="6D6B40ED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46A6C87F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0766887B" w14:textId="77777777" w:rsidR="000F50F2" w:rsidRDefault="000F50F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990" w:type="dxa"/>
          </w:tcPr>
          <w:p w14:paraId="038E9015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0F3A2E5A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Health and Wellbeing</w:t>
            </w:r>
          </w:p>
          <w:p w14:paraId="4610F96D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that habits can have both positive and negative effects on a healthy lifestyle</w:t>
            </w:r>
          </w:p>
          <w:p w14:paraId="143DB66C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 the impact of alcohol and drug use</w:t>
            </w:r>
          </w:p>
          <w:p w14:paraId="1E8C0F53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LO: To assess and manage risk and personal safety in a range of contexts. </w:t>
            </w:r>
          </w:p>
          <w:p w14:paraId="7E349E91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43B42274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 xml:space="preserve">Relationships </w:t>
            </w:r>
          </w:p>
          <w:p w14:paraId="709A86B1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articulat</w:t>
            </w:r>
            <w:r>
              <w:rPr>
                <w:sz w:val="18"/>
                <w:szCs w:val="18"/>
                <w:highlight w:val="white"/>
              </w:rPr>
              <w:t>e their relationship values and apply them in different types of relationships.</w:t>
            </w:r>
          </w:p>
          <w:p w14:paraId="732E2A3C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 the moral and legal responsibilities of seeking consent.</w:t>
            </w:r>
          </w:p>
          <w:p w14:paraId="4D173C67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0F7517F5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1A24D1FF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Living in the Wider World</w:t>
            </w:r>
          </w:p>
          <w:p w14:paraId="1198DBC3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 To set and maintain clear boundaries around personal privacy and to m</w:t>
            </w:r>
            <w:r>
              <w:rPr>
                <w:sz w:val="18"/>
                <w:szCs w:val="18"/>
              </w:rPr>
              <w:t>anage online safety in all its forms, including seeking help when appropriate.</w:t>
            </w:r>
          </w:p>
          <w:p w14:paraId="30337D31" w14:textId="77777777" w:rsidR="000F50F2" w:rsidRDefault="000F50F2">
            <w:pPr>
              <w:rPr>
                <w:sz w:val="18"/>
                <w:szCs w:val="18"/>
              </w:rPr>
            </w:pPr>
          </w:p>
          <w:p w14:paraId="425680DD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 To be a critical consumer of online information in all its forms, including recognising bias, propaganda and manipulation.</w:t>
            </w:r>
          </w:p>
          <w:p w14:paraId="0B9A83BE" w14:textId="77777777" w:rsidR="000F50F2" w:rsidRDefault="000F50F2">
            <w:pPr>
              <w:rPr>
                <w:i/>
                <w:sz w:val="18"/>
                <w:szCs w:val="18"/>
              </w:rPr>
            </w:pPr>
          </w:p>
          <w:p w14:paraId="41BCC140" w14:textId="77777777" w:rsidR="000F50F2" w:rsidRDefault="000F50F2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014E9B0E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3F9F23A7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Health and Wellbeing</w:t>
            </w:r>
          </w:p>
          <w:p w14:paraId="5727A704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how idea</w:t>
            </w:r>
            <w:r>
              <w:rPr>
                <w:sz w:val="18"/>
                <w:szCs w:val="18"/>
                <w:highlight w:val="white"/>
              </w:rPr>
              <w:t>lised images of bodies and pressure to conform, can adversely affect body image and self-esteem; strategies to manage this pressure</w:t>
            </w:r>
          </w:p>
          <w:p w14:paraId="273F3898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learn strategies to develop assertiveness and build resilience to peer and other influences that affect both how they</w:t>
            </w:r>
            <w:r>
              <w:rPr>
                <w:sz w:val="18"/>
                <w:szCs w:val="18"/>
                <w:highlight w:val="white"/>
              </w:rPr>
              <w:t xml:space="preserve"> think about themselves and their health and </w:t>
            </w:r>
            <w:proofErr w:type="spellStart"/>
            <w:r>
              <w:rPr>
                <w:sz w:val="18"/>
                <w:szCs w:val="18"/>
                <w:highlight w:val="white"/>
              </w:rPr>
              <w:t>well being</w:t>
            </w:r>
            <w:proofErr w:type="spellEnd"/>
            <w:r>
              <w:rPr>
                <w:sz w:val="18"/>
                <w:szCs w:val="18"/>
                <w:highlight w:val="white"/>
              </w:rPr>
              <w:t>.</w:t>
            </w:r>
          </w:p>
          <w:p w14:paraId="3F6AE786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0340E463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6B86623C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 xml:space="preserve">Relationships </w:t>
            </w:r>
          </w:p>
          <w:p w14:paraId="1D738173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LO: To recognise and manage negative influence, manipulation and persuasion in a variety of contexts </w:t>
            </w:r>
          </w:p>
          <w:p w14:paraId="7339E7AD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and manage different forms of abuse, sources of support and exit strategies for unhealthy relationships</w:t>
            </w:r>
          </w:p>
          <w:p w14:paraId="0F79BBF5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4C2C4CE4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5A8EAB15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Living in the Wider World</w:t>
            </w:r>
          </w:p>
          <w:p w14:paraId="2E461FD1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W</w:t>
            </w:r>
            <w:r>
              <w:rPr>
                <w:sz w:val="18"/>
                <w:szCs w:val="18"/>
                <w:highlight w:val="white"/>
              </w:rPr>
              <w:t xml:space="preserve">hen and how to report or access help for themselves or others in relation to extremism and radicalisation. </w:t>
            </w:r>
          </w:p>
          <w:p w14:paraId="533F70F0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 that social media may disproportionately feature exaggerated or inaccurate information about situations, or extreme viewpoints; to</w:t>
            </w:r>
            <w:r>
              <w:rPr>
                <w:sz w:val="18"/>
                <w:szCs w:val="18"/>
                <w:highlight w:val="white"/>
              </w:rPr>
              <w:t xml:space="preserve"> recognise why and how this may influence opinions and perceptions of people and events.</w:t>
            </w:r>
          </w:p>
        </w:tc>
        <w:tc>
          <w:tcPr>
            <w:tcW w:w="3825" w:type="dxa"/>
          </w:tcPr>
          <w:p w14:paraId="43DC8320" w14:textId="77777777" w:rsidR="000F50F2" w:rsidRDefault="000F50F2">
            <w:pPr>
              <w:rPr>
                <w:b/>
                <w:sz w:val="18"/>
                <w:szCs w:val="18"/>
              </w:rPr>
            </w:pPr>
          </w:p>
          <w:p w14:paraId="7D9F3797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Health and Wellbeing</w:t>
            </w:r>
          </w:p>
          <w:p w14:paraId="60249B4F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 the characteristics of mental and emotional health; to develop empathy and understanding about how daily actions can affect peo</w:t>
            </w:r>
            <w:r>
              <w:rPr>
                <w:sz w:val="18"/>
                <w:szCs w:val="18"/>
                <w:highlight w:val="white"/>
              </w:rPr>
              <w:t>ple’s mental health</w:t>
            </w:r>
          </w:p>
          <w:p w14:paraId="7766FE7C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453DE49D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 xml:space="preserve">Relationships </w:t>
            </w:r>
          </w:p>
          <w:p w14:paraId="727847C1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The opportunities and potential risks of establishing and conducting relationships online, and strategies to maintain the risk</w:t>
            </w:r>
          </w:p>
          <w:p w14:paraId="0B65A676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LO: To </w:t>
            </w:r>
            <w:proofErr w:type="spellStart"/>
            <w:r>
              <w:rPr>
                <w:sz w:val="18"/>
                <w:szCs w:val="18"/>
                <w:highlight w:val="white"/>
              </w:rPr>
              <w:t>To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recognise unwanted attention (such as harassment and stalking including online)</w:t>
            </w:r>
            <w:r>
              <w:rPr>
                <w:sz w:val="18"/>
                <w:szCs w:val="18"/>
                <w:highlight w:val="white"/>
              </w:rPr>
              <w:t>, ways to respond and how to seek help</w:t>
            </w:r>
          </w:p>
          <w:p w14:paraId="55AFAD58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evaluate different motivations and contexts in which sexual images are shared, and possible legal, emotional and social consequences.</w:t>
            </w:r>
          </w:p>
          <w:p w14:paraId="4F99F6D0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609E6E57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Living in the Wider World</w:t>
            </w:r>
          </w:p>
          <w:p w14:paraId="38FBE536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How to </w:t>
            </w:r>
            <w:proofErr w:type="gramStart"/>
            <w:r>
              <w:rPr>
                <w:sz w:val="18"/>
                <w:szCs w:val="18"/>
              </w:rPr>
              <w:t>effectively  budget</w:t>
            </w:r>
            <w:proofErr w:type="gramEnd"/>
            <w:r>
              <w:rPr>
                <w:sz w:val="18"/>
                <w:szCs w:val="18"/>
              </w:rPr>
              <w:t>, including the ben</w:t>
            </w:r>
            <w:r>
              <w:rPr>
                <w:sz w:val="18"/>
                <w:szCs w:val="18"/>
              </w:rPr>
              <w:t>efit of saving</w:t>
            </w:r>
          </w:p>
          <w:p w14:paraId="329507C8" w14:textId="77777777" w:rsidR="000F50F2" w:rsidRDefault="000F50F2">
            <w:pPr>
              <w:rPr>
                <w:sz w:val="18"/>
                <w:szCs w:val="18"/>
              </w:rPr>
            </w:pPr>
          </w:p>
          <w:p w14:paraId="1A586238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LO: To gain the skills to challenge or seek support for financial exploitation in different contexts including online.</w:t>
            </w:r>
          </w:p>
        </w:tc>
        <w:tc>
          <w:tcPr>
            <w:tcW w:w="3390" w:type="dxa"/>
          </w:tcPr>
          <w:p w14:paraId="4BBCBAA9" w14:textId="77777777" w:rsidR="000F50F2" w:rsidRDefault="000F50F2">
            <w:pPr>
              <w:rPr>
                <w:sz w:val="18"/>
                <w:szCs w:val="18"/>
              </w:rPr>
            </w:pPr>
          </w:p>
          <w:p w14:paraId="2251C7B4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Health and Wellbeing</w:t>
            </w:r>
          </w:p>
          <w:p w14:paraId="366703DB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warning signs of common mental health concerns (including stress, anxiety and depression), what might trigger them and what help or treatment is available</w:t>
            </w:r>
          </w:p>
          <w:p w14:paraId="290BBCA1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learn a broad range of strategies - cognitive and practical- for promoting th</w:t>
            </w:r>
            <w:r>
              <w:rPr>
                <w:sz w:val="18"/>
                <w:szCs w:val="18"/>
                <w:highlight w:val="white"/>
              </w:rPr>
              <w:t xml:space="preserve">eir own emotional wellbeing, for avoiding negative thinking and for ways of managing mental health </w:t>
            </w:r>
            <w:proofErr w:type="gramStart"/>
            <w:r>
              <w:rPr>
                <w:sz w:val="18"/>
                <w:szCs w:val="18"/>
                <w:highlight w:val="white"/>
              </w:rPr>
              <w:t>concerns..</w:t>
            </w:r>
            <w:proofErr w:type="gramEnd"/>
          </w:p>
          <w:p w14:paraId="42503EAF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1B81A362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 xml:space="preserve">Relationships </w:t>
            </w:r>
          </w:p>
          <w:p w14:paraId="576597FA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the skills to support younger peers when in positions of influence</w:t>
            </w:r>
          </w:p>
          <w:p w14:paraId="6F84468E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recognise the factors which contribute to young people becoming involved in serious organised crime, including cybercrime</w:t>
            </w:r>
          </w:p>
          <w:p w14:paraId="4093B5A4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7DAC1863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Living in the Wider World</w:t>
            </w:r>
          </w:p>
          <w:p w14:paraId="4E307690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LO: To evaluate </w:t>
            </w:r>
            <w:r>
              <w:rPr>
                <w:sz w:val="18"/>
                <w:szCs w:val="18"/>
                <w:highlight w:val="white"/>
              </w:rPr>
              <w:t xml:space="preserve">the financial </w:t>
            </w:r>
            <w:proofErr w:type="gramStart"/>
            <w:r>
              <w:rPr>
                <w:sz w:val="18"/>
                <w:szCs w:val="18"/>
                <w:highlight w:val="white"/>
              </w:rPr>
              <w:t>advantages ,</w:t>
            </w:r>
            <w:proofErr w:type="gramEnd"/>
            <w:r>
              <w:rPr>
                <w:sz w:val="18"/>
                <w:szCs w:val="18"/>
                <w:highlight w:val="white"/>
              </w:rPr>
              <w:t xml:space="preserve"> disadvantages and risks of different models of contractual terms, including </w:t>
            </w:r>
            <w:proofErr w:type="spellStart"/>
            <w:r>
              <w:rPr>
                <w:sz w:val="18"/>
                <w:szCs w:val="18"/>
                <w:highlight w:val="white"/>
              </w:rPr>
              <w:t>self employment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full time, part-time and zero hour contracts.  </w:t>
            </w:r>
          </w:p>
          <w:p w14:paraId="34416208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3360" w:type="dxa"/>
          </w:tcPr>
          <w:p w14:paraId="4B5AA014" w14:textId="77777777" w:rsidR="000F50F2" w:rsidRDefault="000F50F2">
            <w:pPr>
              <w:rPr>
                <w:sz w:val="18"/>
                <w:szCs w:val="18"/>
              </w:rPr>
            </w:pPr>
          </w:p>
          <w:p w14:paraId="6EBBEA91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Health and Wellbeing</w:t>
            </w:r>
          </w:p>
          <w:p w14:paraId="3A22AB92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increase confidence in performing emergency first aid and l</w:t>
            </w:r>
            <w:r>
              <w:rPr>
                <w:sz w:val="18"/>
                <w:szCs w:val="18"/>
                <w:highlight w:val="white"/>
              </w:rPr>
              <w:t>ife-saving skills, including cardio-pulmonary resuscitation (CPR) and the use of defibrillators</w:t>
            </w:r>
          </w:p>
          <w:p w14:paraId="5F1CD348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 the risk of contracting or passing on a sexually transmitted disease and selecting appropriate contraception.</w:t>
            </w:r>
          </w:p>
          <w:p w14:paraId="6FE269CA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 xml:space="preserve">Relationships </w:t>
            </w:r>
          </w:p>
          <w:p w14:paraId="5C015527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learn abou</w:t>
            </w:r>
            <w:r>
              <w:rPr>
                <w:sz w:val="18"/>
                <w:szCs w:val="18"/>
                <w:highlight w:val="white"/>
              </w:rPr>
              <w:t>t diversity in romantic and sexual attraction and developing sexuality, including sources of support and reassurance and how to access them</w:t>
            </w:r>
          </w:p>
          <w:p w14:paraId="3A2CB33A" w14:textId="77777777" w:rsidR="000F50F2" w:rsidRDefault="00B77981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LO: To understand the portrayal of sex in pornography and other media, including on sexual attitudes, expectations a</w:t>
            </w:r>
            <w:r>
              <w:rPr>
                <w:sz w:val="18"/>
                <w:szCs w:val="18"/>
                <w:highlight w:val="white"/>
              </w:rPr>
              <w:t>nd behaviours.</w:t>
            </w:r>
          </w:p>
          <w:p w14:paraId="5FE48DC9" w14:textId="77777777" w:rsidR="000F50F2" w:rsidRDefault="000F50F2">
            <w:pPr>
              <w:spacing w:after="160" w:line="259" w:lineRule="auto"/>
              <w:rPr>
                <w:sz w:val="18"/>
                <w:szCs w:val="18"/>
                <w:highlight w:val="white"/>
              </w:rPr>
            </w:pPr>
          </w:p>
          <w:p w14:paraId="5E20506E" w14:textId="77777777" w:rsidR="000F50F2" w:rsidRDefault="00B77981">
            <w:pPr>
              <w:spacing w:after="160" w:line="259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highlight w:val="white"/>
                <w:u w:val="single"/>
              </w:rPr>
              <w:t>Living in the Wider World</w:t>
            </w:r>
          </w:p>
          <w:p w14:paraId="18BA61D5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 To learn about the range of opportunities available to them for career progression, including education, training and employment.</w:t>
            </w:r>
          </w:p>
          <w:p w14:paraId="4147E200" w14:textId="77777777" w:rsidR="000F50F2" w:rsidRDefault="000F50F2">
            <w:pPr>
              <w:rPr>
                <w:sz w:val="18"/>
                <w:szCs w:val="18"/>
              </w:rPr>
            </w:pPr>
          </w:p>
          <w:p w14:paraId="7DB5E79F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 To learn about the need to challenge stereotypes about particular career pa</w:t>
            </w:r>
            <w:r>
              <w:rPr>
                <w:sz w:val="18"/>
                <w:szCs w:val="18"/>
              </w:rPr>
              <w:t xml:space="preserve">thways, maintaining high aspirations for their future and embrace new opportunities. </w:t>
            </w:r>
          </w:p>
          <w:p w14:paraId="4683C5DB" w14:textId="77777777" w:rsidR="000F50F2" w:rsidRDefault="000F50F2">
            <w:pPr>
              <w:rPr>
                <w:sz w:val="18"/>
                <w:szCs w:val="18"/>
              </w:rPr>
            </w:pPr>
          </w:p>
          <w:p w14:paraId="484A4F94" w14:textId="77777777" w:rsidR="000F50F2" w:rsidRDefault="00B77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To </w:t>
            </w:r>
            <w:proofErr w:type="gramStart"/>
            <w:r>
              <w:rPr>
                <w:sz w:val="18"/>
                <w:szCs w:val="18"/>
              </w:rPr>
              <w:t>research ,</w:t>
            </w:r>
            <w:proofErr w:type="gramEnd"/>
            <w:r>
              <w:rPr>
                <w:sz w:val="18"/>
                <w:szCs w:val="18"/>
              </w:rPr>
              <w:t xml:space="preserve"> secure and take advantage of any opportunities for work experience that are available. </w:t>
            </w:r>
          </w:p>
        </w:tc>
      </w:tr>
    </w:tbl>
    <w:p w14:paraId="3B392AF8" w14:textId="77777777" w:rsidR="000F50F2" w:rsidRDefault="000F50F2"/>
    <w:p w14:paraId="1B324D81" w14:textId="77777777" w:rsidR="000F50F2" w:rsidRDefault="000F50F2"/>
    <w:p w14:paraId="73D4066E" w14:textId="77777777" w:rsidR="000F50F2" w:rsidRDefault="000F50F2"/>
    <w:p w14:paraId="2807AF7C" w14:textId="77777777" w:rsidR="000F50F2" w:rsidRDefault="000F50F2"/>
    <w:p w14:paraId="49E3F5E6" w14:textId="77777777" w:rsidR="000F50F2" w:rsidRDefault="000F50F2"/>
    <w:p w14:paraId="495D47D4" w14:textId="77777777" w:rsidR="000F50F2" w:rsidRDefault="000F50F2"/>
    <w:p w14:paraId="1A99709A" w14:textId="77777777" w:rsidR="000F50F2" w:rsidRDefault="000F50F2"/>
    <w:p w14:paraId="0B817C98" w14:textId="77777777" w:rsidR="000F50F2" w:rsidRDefault="000F50F2"/>
    <w:p w14:paraId="019592FD" w14:textId="77777777" w:rsidR="000F50F2" w:rsidRDefault="000F50F2"/>
    <w:p w14:paraId="62349720" w14:textId="77777777" w:rsidR="000F50F2" w:rsidRDefault="000F50F2"/>
    <w:p w14:paraId="16968EB4" w14:textId="77777777" w:rsidR="000F50F2" w:rsidRDefault="00B77981">
      <w:pPr>
        <w:tabs>
          <w:tab w:val="center" w:pos="4513"/>
          <w:tab w:val="right" w:pos="9026"/>
        </w:tabs>
      </w:pPr>
      <w:r>
        <w:br w:type="page"/>
      </w:r>
    </w:p>
    <w:p w14:paraId="28ED59CC" w14:textId="77777777" w:rsidR="000F50F2" w:rsidRDefault="000F50F2">
      <w:pPr>
        <w:tabs>
          <w:tab w:val="center" w:pos="4513"/>
          <w:tab w:val="right" w:pos="9026"/>
        </w:tabs>
        <w:spacing w:after="0" w:line="240" w:lineRule="auto"/>
      </w:pPr>
    </w:p>
    <w:p w14:paraId="349AA8BF" w14:textId="77777777" w:rsidR="000F50F2" w:rsidRDefault="000F50F2">
      <w:pPr>
        <w:tabs>
          <w:tab w:val="center" w:pos="4513"/>
          <w:tab w:val="right" w:pos="9026"/>
        </w:tabs>
      </w:pPr>
    </w:p>
    <w:p w14:paraId="2C4885B9" w14:textId="77777777" w:rsidR="000F50F2" w:rsidRDefault="000F50F2">
      <w:pPr>
        <w:tabs>
          <w:tab w:val="center" w:pos="4513"/>
          <w:tab w:val="right" w:pos="9026"/>
        </w:tabs>
      </w:pPr>
    </w:p>
    <w:p w14:paraId="753ED7FB" w14:textId="77777777" w:rsidR="000F50F2" w:rsidRDefault="000F50F2">
      <w:pP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shd w:val="clear" w:color="auto" w:fill="FF9900"/>
        </w:rPr>
      </w:pPr>
    </w:p>
    <w:p w14:paraId="06F0A6DB" w14:textId="77777777" w:rsidR="000F50F2" w:rsidRDefault="000F50F2"/>
    <w:sectPr w:rsidR="000F50F2">
      <w:footerReference w:type="default" r:id="rId7"/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0BEB" w14:textId="77777777" w:rsidR="00000000" w:rsidRDefault="00B77981">
      <w:pPr>
        <w:spacing w:after="0" w:line="240" w:lineRule="auto"/>
      </w:pPr>
      <w:r>
        <w:separator/>
      </w:r>
    </w:p>
  </w:endnote>
  <w:endnote w:type="continuationSeparator" w:id="0">
    <w:p w14:paraId="1FD68AAD" w14:textId="77777777" w:rsidR="00000000" w:rsidRDefault="00B7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2392" w14:textId="77777777" w:rsidR="000F50F2" w:rsidRDefault="000F50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DDF9" w14:textId="77777777" w:rsidR="00000000" w:rsidRDefault="00B77981">
      <w:pPr>
        <w:spacing w:after="0" w:line="240" w:lineRule="auto"/>
      </w:pPr>
      <w:r>
        <w:separator/>
      </w:r>
    </w:p>
  </w:footnote>
  <w:footnote w:type="continuationSeparator" w:id="0">
    <w:p w14:paraId="110C47FB" w14:textId="77777777" w:rsidR="00000000" w:rsidRDefault="00B77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F2"/>
    <w:rsid w:val="000F50F2"/>
    <w:rsid w:val="00B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8026"/>
  <w15:docId w15:val="{80FBC58D-C9BE-4321-9F56-62862F84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45"/>
  </w:style>
  <w:style w:type="paragraph" w:styleId="Footer">
    <w:name w:val="footer"/>
    <w:basedOn w:val="Normal"/>
    <w:link w:val="Foot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45"/>
  </w:style>
  <w:style w:type="table" w:styleId="TableGrid">
    <w:name w:val="Table Grid"/>
    <w:basedOn w:val="TableNormal"/>
    <w:uiPriority w:val="39"/>
    <w:rsid w:val="00E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7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ED"/>
    <w:rPr>
      <w:rFonts w:ascii="Segoe UI" w:hAnsi="Segoe UI" w:cs="Segoe UI"/>
      <w:sz w:val="18"/>
      <w:szCs w:val="1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AluK7ggSdNDeVzPrgPLHE4wjw==">CgMxLjA4AHIhMWtySExaRjM3S3Q2U3FCUFVKSzQzU0MtWjNSbm95Wmpn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Hayes</dc:creator>
  <cp:lastModifiedBy>Sarah Egan</cp:lastModifiedBy>
  <cp:revision>2</cp:revision>
  <dcterms:created xsi:type="dcterms:W3CDTF">2025-10-13T14:25:00Z</dcterms:created>
  <dcterms:modified xsi:type="dcterms:W3CDTF">2025-10-13T14:25:00Z</dcterms:modified>
</cp:coreProperties>
</file>